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F20" w:rsidRPr="000D7F20" w:rsidRDefault="000D7F20" w:rsidP="000D7F20">
      <w:pPr>
        <w:spacing w:after="0" w:line="480" w:lineRule="auto"/>
        <w:rPr>
          <w:rFonts w:ascii="Times New Roman" w:hAnsi="Times New Roman" w:cs="Times New Roman"/>
          <w:iCs/>
          <w:sz w:val="24"/>
          <w:szCs w:val="24"/>
          <w:lang w:val="en"/>
        </w:rPr>
      </w:pPr>
      <w:r w:rsidRPr="000D7F20">
        <w:rPr>
          <w:rFonts w:ascii="Times New Roman" w:hAnsi="Times New Roman" w:cs="Times New Roman"/>
          <w:iCs/>
          <w:sz w:val="24"/>
          <w:szCs w:val="24"/>
          <w:lang w:val="en"/>
        </w:rPr>
        <w:t>Name:</w:t>
      </w:r>
    </w:p>
    <w:p w:rsidR="000D7F20" w:rsidRPr="000D7F20" w:rsidRDefault="000D7F20" w:rsidP="000D7F20">
      <w:pPr>
        <w:spacing w:after="0" w:line="480" w:lineRule="auto"/>
        <w:rPr>
          <w:rFonts w:ascii="Times New Roman" w:hAnsi="Times New Roman" w:cs="Times New Roman"/>
          <w:iCs/>
          <w:sz w:val="24"/>
          <w:szCs w:val="24"/>
          <w:lang w:val="en"/>
        </w:rPr>
      </w:pPr>
      <w:r w:rsidRPr="000D7F20">
        <w:rPr>
          <w:rFonts w:ascii="Times New Roman" w:hAnsi="Times New Roman" w:cs="Times New Roman"/>
          <w:iCs/>
          <w:sz w:val="24"/>
          <w:szCs w:val="24"/>
          <w:lang w:val="en"/>
        </w:rPr>
        <w:t>Institution:</w:t>
      </w:r>
    </w:p>
    <w:p w:rsidR="000D7F20" w:rsidRPr="000D7F20" w:rsidRDefault="000D7F20" w:rsidP="000D7F20">
      <w:pPr>
        <w:spacing w:after="0" w:line="480" w:lineRule="auto"/>
        <w:rPr>
          <w:rFonts w:ascii="Times New Roman" w:hAnsi="Times New Roman" w:cs="Times New Roman"/>
          <w:iCs/>
          <w:sz w:val="24"/>
          <w:szCs w:val="24"/>
          <w:lang w:val="en"/>
        </w:rPr>
      </w:pPr>
      <w:r w:rsidRPr="000D7F20">
        <w:rPr>
          <w:rFonts w:ascii="Times New Roman" w:hAnsi="Times New Roman" w:cs="Times New Roman"/>
          <w:iCs/>
          <w:sz w:val="24"/>
          <w:szCs w:val="24"/>
          <w:lang w:val="en"/>
        </w:rPr>
        <w:t>Course:</w:t>
      </w:r>
    </w:p>
    <w:p w:rsidR="000D7F20" w:rsidRPr="000D7F20" w:rsidRDefault="000D7F20" w:rsidP="000D7F20">
      <w:pPr>
        <w:spacing w:after="0" w:line="480" w:lineRule="auto"/>
        <w:rPr>
          <w:rFonts w:ascii="Times New Roman" w:hAnsi="Times New Roman" w:cs="Times New Roman"/>
          <w:iCs/>
          <w:sz w:val="24"/>
          <w:szCs w:val="24"/>
          <w:lang w:val="en"/>
        </w:rPr>
      </w:pPr>
      <w:r w:rsidRPr="000D7F20">
        <w:rPr>
          <w:rFonts w:ascii="Times New Roman" w:hAnsi="Times New Roman" w:cs="Times New Roman"/>
          <w:iCs/>
          <w:sz w:val="24"/>
          <w:szCs w:val="24"/>
          <w:lang w:val="en"/>
        </w:rPr>
        <w:t>Instructor:</w:t>
      </w:r>
    </w:p>
    <w:p w:rsidR="000D7F20" w:rsidRPr="000D7F20" w:rsidRDefault="000D7F20" w:rsidP="000D7F20">
      <w:pPr>
        <w:spacing w:after="0" w:line="480" w:lineRule="auto"/>
        <w:rPr>
          <w:rFonts w:ascii="Times New Roman" w:hAnsi="Times New Roman" w:cs="Times New Roman"/>
          <w:b/>
          <w:iCs/>
          <w:sz w:val="24"/>
          <w:szCs w:val="24"/>
          <w:lang w:val="en"/>
        </w:rPr>
      </w:pPr>
      <w:r w:rsidRPr="000D7F20">
        <w:rPr>
          <w:rFonts w:ascii="Times New Roman" w:hAnsi="Times New Roman" w:cs="Times New Roman"/>
          <w:iCs/>
          <w:sz w:val="24"/>
          <w:szCs w:val="24"/>
          <w:lang w:val="en"/>
        </w:rPr>
        <w:t>Date:</w:t>
      </w:r>
    </w:p>
    <w:p w:rsidR="00504582" w:rsidRPr="000D7F20" w:rsidRDefault="00504582" w:rsidP="000D7F20">
      <w:pPr>
        <w:spacing w:after="0" w:line="480" w:lineRule="auto"/>
        <w:jc w:val="center"/>
        <w:rPr>
          <w:rFonts w:ascii="Times New Roman" w:hAnsi="Times New Roman" w:cs="Times New Roman"/>
          <w:b/>
          <w:iCs/>
          <w:sz w:val="24"/>
          <w:szCs w:val="24"/>
        </w:rPr>
      </w:pPr>
      <w:proofErr w:type="spellStart"/>
      <w:r w:rsidRPr="000D7F20">
        <w:rPr>
          <w:rFonts w:ascii="Times New Roman" w:hAnsi="Times New Roman" w:cs="Times New Roman"/>
          <w:b/>
          <w:iCs/>
          <w:sz w:val="24"/>
          <w:szCs w:val="24"/>
          <w:lang w:val="en"/>
        </w:rPr>
        <w:t>Glossip</w:t>
      </w:r>
      <w:proofErr w:type="spellEnd"/>
      <w:r w:rsidRPr="000D7F20">
        <w:rPr>
          <w:rFonts w:ascii="Times New Roman" w:hAnsi="Times New Roman" w:cs="Times New Roman"/>
          <w:b/>
          <w:iCs/>
          <w:sz w:val="24"/>
          <w:szCs w:val="24"/>
          <w:lang w:val="en"/>
        </w:rPr>
        <w:t xml:space="preserve"> v. Gross and </w:t>
      </w:r>
      <w:r w:rsidRPr="000D7F20">
        <w:rPr>
          <w:rFonts w:ascii="Times New Roman" w:hAnsi="Times New Roman" w:cs="Times New Roman"/>
          <w:b/>
          <w:iCs/>
          <w:sz w:val="24"/>
          <w:szCs w:val="24"/>
        </w:rPr>
        <w:t>Hurst v. Florida</w:t>
      </w:r>
    </w:p>
    <w:p w:rsidR="00504582" w:rsidRPr="000D7F20" w:rsidRDefault="00504582" w:rsidP="000D7F20">
      <w:pPr>
        <w:spacing w:after="0" w:line="480" w:lineRule="auto"/>
        <w:rPr>
          <w:rFonts w:ascii="Times New Roman" w:hAnsi="Times New Roman" w:cs="Times New Roman"/>
          <w:b/>
          <w:iCs/>
          <w:sz w:val="24"/>
          <w:szCs w:val="24"/>
        </w:rPr>
      </w:pPr>
      <w:r w:rsidRPr="000D7F20">
        <w:rPr>
          <w:rFonts w:ascii="Times New Roman" w:hAnsi="Times New Roman" w:cs="Times New Roman"/>
          <w:b/>
          <w:iCs/>
          <w:sz w:val="24"/>
          <w:szCs w:val="24"/>
        </w:rPr>
        <w:t>Fact of the Cases:</w:t>
      </w:r>
    </w:p>
    <w:p w:rsidR="000D7F20" w:rsidRPr="000D7F20" w:rsidRDefault="000D7F20" w:rsidP="000D7F20">
      <w:pPr>
        <w:spacing w:after="0" w:line="480" w:lineRule="auto"/>
        <w:ind w:firstLine="720"/>
        <w:rPr>
          <w:rFonts w:ascii="Times New Roman" w:hAnsi="Times New Roman" w:cs="Times New Roman"/>
          <w:sz w:val="24"/>
          <w:szCs w:val="24"/>
        </w:rPr>
      </w:pPr>
      <w:r w:rsidRPr="000D7F20">
        <w:rPr>
          <w:rFonts w:ascii="Times New Roman" w:hAnsi="Times New Roman" w:cs="Times New Roman"/>
          <w:sz w:val="24"/>
          <w:szCs w:val="24"/>
        </w:rPr>
        <w:t>First, in the case </w:t>
      </w:r>
      <w:r w:rsidRPr="000D7F20">
        <w:rPr>
          <w:rFonts w:ascii="Times New Roman" w:hAnsi="Times New Roman" w:cs="Times New Roman"/>
          <w:i/>
          <w:iCs/>
          <w:sz w:val="24"/>
          <w:szCs w:val="24"/>
        </w:rPr>
        <w:t xml:space="preserve">of </w:t>
      </w:r>
      <w:proofErr w:type="spellStart"/>
      <w:r w:rsidRPr="000D7F20">
        <w:rPr>
          <w:rFonts w:ascii="Times New Roman" w:hAnsi="Times New Roman" w:cs="Times New Roman"/>
          <w:i/>
          <w:iCs/>
          <w:sz w:val="24"/>
          <w:szCs w:val="24"/>
        </w:rPr>
        <w:t>Glossip</w:t>
      </w:r>
      <w:proofErr w:type="spellEnd"/>
      <w:r w:rsidRPr="000D7F20">
        <w:rPr>
          <w:rFonts w:ascii="Times New Roman" w:hAnsi="Times New Roman" w:cs="Times New Roman"/>
          <w:i/>
          <w:iCs/>
          <w:sz w:val="24"/>
          <w:szCs w:val="24"/>
        </w:rPr>
        <w:t xml:space="preserve"> v. Gross, </w:t>
      </w:r>
      <w:r w:rsidRPr="000D7F20">
        <w:rPr>
          <w:rFonts w:ascii="Times New Roman" w:hAnsi="Times New Roman" w:cs="Times New Roman"/>
          <w:sz w:val="24"/>
          <w:szCs w:val="24"/>
        </w:rPr>
        <w:t>In April 2014, Oklahoma implemented the execution of Clayton Lockett utilizing a three- remedy deadly vaccination procedure. However, the procedure was poorly implemented (</w:t>
      </w:r>
      <w:proofErr w:type="spellStart"/>
      <w:r w:rsidRPr="000D7F20">
        <w:rPr>
          <w:rFonts w:ascii="Times New Roman" w:hAnsi="Times New Roman" w:cs="Times New Roman"/>
          <w:sz w:val="24"/>
          <w:szCs w:val="24"/>
        </w:rPr>
        <w:t>Malec</w:t>
      </w:r>
      <w:proofErr w:type="spellEnd"/>
      <w:r w:rsidRPr="000D7F20">
        <w:rPr>
          <w:rFonts w:ascii="Times New Roman" w:hAnsi="Times New Roman" w:cs="Times New Roman"/>
          <w:sz w:val="24"/>
          <w:szCs w:val="24"/>
        </w:rPr>
        <w:t xml:space="preserve"> 37). Clayton awakened after being injected with the drugs that were intended to make him lifeless and failed to die until the 40 minutes later. As a result, Oklahoma considered suspending all succeeding implementations up to the time the instance was scrutinized and afterward undertake a novel procedure that would have a higher focus on ensuring that injections were implemented correctly. Following the investigation, the new procedure created a room for four alternate drug mixtures, where one was to use midazolam as the primary drug (</w:t>
      </w:r>
      <w:proofErr w:type="spellStart"/>
      <w:r w:rsidRPr="000D7F20">
        <w:rPr>
          <w:rFonts w:ascii="Times New Roman" w:hAnsi="Times New Roman" w:cs="Times New Roman"/>
          <w:sz w:val="24"/>
          <w:szCs w:val="24"/>
        </w:rPr>
        <w:t>Maerowitz</w:t>
      </w:r>
      <w:proofErr w:type="spellEnd"/>
      <w:r w:rsidRPr="000D7F20">
        <w:rPr>
          <w:rFonts w:ascii="Times New Roman" w:hAnsi="Times New Roman" w:cs="Times New Roman"/>
          <w:sz w:val="24"/>
          <w:szCs w:val="24"/>
        </w:rPr>
        <w:t xml:space="preserve"> 279). As a result, Charles Warner and the other 20 death row convicts considered suing state officers with the argument that the use of midazolam as a primary drug in implementing the execution procedure was violating the Eighth Amendment. According to the inmates, the amendment was prohibiting against the use of unusual and cruel punishment. Besides, Warner and other plaintiffs filed for an opening sanction that would have hindered Oklahoma from going on with the executions. </w:t>
      </w:r>
    </w:p>
    <w:p w:rsidR="000D7F20" w:rsidRPr="000D7F20" w:rsidRDefault="000D7F20" w:rsidP="000D7F20">
      <w:pPr>
        <w:spacing w:after="0" w:line="480" w:lineRule="auto"/>
        <w:ind w:firstLine="720"/>
        <w:rPr>
          <w:rFonts w:ascii="Times New Roman" w:hAnsi="Times New Roman" w:cs="Times New Roman"/>
          <w:sz w:val="24"/>
          <w:szCs w:val="24"/>
        </w:rPr>
      </w:pPr>
      <w:r w:rsidRPr="000D7F20">
        <w:rPr>
          <w:rFonts w:ascii="Times New Roman" w:hAnsi="Times New Roman" w:cs="Times New Roman"/>
          <w:sz w:val="24"/>
          <w:szCs w:val="24"/>
        </w:rPr>
        <w:t>In the second case concerning </w:t>
      </w:r>
      <w:r w:rsidRPr="000D7F20">
        <w:rPr>
          <w:rFonts w:ascii="Times New Roman" w:hAnsi="Times New Roman" w:cs="Times New Roman"/>
          <w:i/>
          <w:iCs/>
          <w:sz w:val="24"/>
          <w:szCs w:val="24"/>
        </w:rPr>
        <w:t>Hurst v. Florida, </w:t>
      </w:r>
      <w:r w:rsidRPr="000D7F20">
        <w:rPr>
          <w:rFonts w:ascii="Times New Roman" w:hAnsi="Times New Roman" w:cs="Times New Roman"/>
          <w:sz w:val="24"/>
          <w:szCs w:val="24"/>
        </w:rPr>
        <w:t>Timothy Lee was charged with first-degree murder where he had executed his co-employee, Cynthia Harrison, in a robbery incidence in a hotel where they were workers (</w:t>
      </w:r>
      <w:proofErr w:type="spellStart"/>
      <w:r w:rsidRPr="000D7F20">
        <w:rPr>
          <w:rFonts w:ascii="Times New Roman" w:hAnsi="Times New Roman" w:cs="Times New Roman"/>
          <w:sz w:val="24"/>
          <w:szCs w:val="24"/>
        </w:rPr>
        <w:t>Guyer</w:t>
      </w:r>
      <w:proofErr w:type="spellEnd"/>
      <w:r w:rsidRPr="000D7F20">
        <w:rPr>
          <w:rFonts w:ascii="Times New Roman" w:hAnsi="Times New Roman" w:cs="Times New Roman"/>
          <w:sz w:val="24"/>
          <w:szCs w:val="24"/>
        </w:rPr>
        <w:t xml:space="preserve"> 242). Timothy was charged and served with a death sentence but he petitioned. In the petition case, Timothy was served with a new </w:t>
      </w:r>
      <w:r w:rsidRPr="000D7F20">
        <w:rPr>
          <w:rFonts w:ascii="Times New Roman" w:hAnsi="Times New Roman" w:cs="Times New Roman"/>
          <w:sz w:val="24"/>
          <w:szCs w:val="24"/>
        </w:rPr>
        <w:lastRenderedPageBreak/>
        <w:t>sentence trial since the Florida Supreme Court established that Hurst counsel needed to have examined and offered evidence of Timothy's doubtful aptitude and probable biological brain injury. In the new sentence, Timothy was inhibited to present mental impedance proof as an unconditional block for death punishment imposition. However, Timothy was permitted to provide alleviating proof (</w:t>
      </w:r>
      <w:proofErr w:type="spellStart"/>
      <w:r w:rsidRPr="000D7F20">
        <w:rPr>
          <w:rFonts w:ascii="Times New Roman" w:hAnsi="Times New Roman" w:cs="Times New Roman"/>
          <w:sz w:val="24"/>
          <w:szCs w:val="24"/>
        </w:rPr>
        <w:t>Wermer</w:t>
      </w:r>
      <w:proofErr w:type="spellEnd"/>
      <w:r w:rsidRPr="000D7F20">
        <w:rPr>
          <w:rFonts w:ascii="Times New Roman" w:hAnsi="Times New Roman" w:cs="Times New Roman"/>
          <w:sz w:val="24"/>
          <w:szCs w:val="24"/>
        </w:rPr>
        <w:t xml:space="preserve"> 345). </w:t>
      </w:r>
    </w:p>
    <w:p w:rsidR="000D7F20" w:rsidRPr="000D7F20" w:rsidRDefault="000D7F20" w:rsidP="000D7F20">
      <w:pPr>
        <w:spacing w:after="0" w:line="480" w:lineRule="auto"/>
        <w:rPr>
          <w:rFonts w:ascii="Times New Roman" w:hAnsi="Times New Roman" w:cs="Times New Roman"/>
          <w:sz w:val="24"/>
          <w:szCs w:val="24"/>
        </w:rPr>
      </w:pPr>
      <w:r w:rsidRPr="000D7F20">
        <w:rPr>
          <w:rFonts w:ascii="Times New Roman" w:hAnsi="Times New Roman" w:cs="Times New Roman"/>
          <w:b/>
          <w:bCs/>
          <w:sz w:val="24"/>
          <w:szCs w:val="24"/>
        </w:rPr>
        <w:t>Concepts and Theories Related to the Cases </w:t>
      </w:r>
    </w:p>
    <w:p w:rsidR="000D7F20" w:rsidRPr="000D7F20" w:rsidRDefault="000D7F20" w:rsidP="000D7F20">
      <w:pPr>
        <w:spacing w:after="0" w:line="480" w:lineRule="auto"/>
        <w:ind w:firstLine="720"/>
        <w:rPr>
          <w:rFonts w:ascii="Times New Roman" w:hAnsi="Times New Roman" w:cs="Times New Roman"/>
          <w:sz w:val="24"/>
          <w:szCs w:val="24"/>
        </w:rPr>
      </w:pPr>
      <w:r w:rsidRPr="000D7F20">
        <w:rPr>
          <w:rFonts w:ascii="Times New Roman" w:hAnsi="Times New Roman" w:cs="Times New Roman"/>
          <w:sz w:val="24"/>
          <w:szCs w:val="24"/>
        </w:rPr>
        <w:t>According to McCann (913), various punishments can be faced by a convict. However, to understand the type of punishment it is appropriate to focus on punishment theories. The deterrent theory argues that punishment is issued for the</w:t>
      </w:r>
      <w:r w:rsidR="00217D6F">
        <w:rPr>
          <w:rFonts w:ascii="Times New Roman" w:hAnsi="Times New Roman" w:cs="Times New Roman"/>
          <w:sz w:val="24"/>
          <w:szCs w:val="24"/>
        </w:rPr>
        <w:t xml:space="preserve"> sake of covering the </w:t>
      </w:r>
      <w:r w:rsidR="00CB4937">
        <w:rPr>
          <w:rFonts w:ascii="Times New Roman" w:hAnsi="Times New Roman" w:cs="Times New Roman"/>
          <w:sz w:val="24"/>
          <w:szCs w:val="24"/>
        </w:rPr>
        <w:t>mistakes</w:t>
      </w:r>
      <w:r w:rsidRPr="000D7F20">
        <w:rPr>
          <w:rFonts w:ascii="Times New Roman" w:hAnsi="Times New Roman" w:cs="Times New Roman"/>
          <w:sz w:val="24"/>
          <w:szCs w:val="24"/>
        </w:rPr>
        <w:t>. In this case, there is a specific and general deterrence theory. Specific deterrence is to educate criminals. General deterrence punishment is set for the avoidance of future crime. </w:t>
      </w:r>
    </w:p>
    <w:p w:rsidR="000D7F20" w:rsidRPr="000D7F20" w:rsidRDefault="000D7F20" w:rsidP="000D7F20">
      <w:pPr>
        <w:spacing w:after="0" w:line="480" w:lineRule="auto"/>
        <w:ind w:firstLine="720"/>
        <w:rPr>
          <w:rFonts w:ascii="Times New Roman" w:hAnsi="Times New Roman" w:cs="Times New Roman"/>
          <w:sz w:val="24"/>
          <w:szCs w:val="24"/>
        </w:rPr>
      </w:pPr>
      <w:r w:rsidRPr="000D7F20">
        <w:rPr>
          <w:rFonts w:ascii="Times New Roman" w:hAnsi="Times New Roman" w:cs="Times New Roman"/>
          <w:sz w:val="24"/>
          <w:szCs w:val="24"/>
        </w:rPr>
        <w:t>On the other hand, there is the retributive theory where it suggests that convicts have to be punished for the wrongful doing. Besides, there is a preventive theory which is used in restricting offenders to commit the crime again where one can be culpable for exile, imprisonment, or death (J</w:t>
      </w:r>
      <w:r w:rsidR="00CB4937">
        <w:rPr>
          <w:rFonts w:ascii="Times New Roman" w:hAnsi="Times New Roman" w:cs="Times New Roman"/>
          <w:sz w:val="24"/>
          <w:szCs w:val="24"/>
        </w:rPr>
        <w:t xml:space="preserve">acobs and Carmichael </w:t>
      </w:r>
      <w:r w:rsidRPr="000D7F20">
        <w:rPr>
          <w:rFonts w:ascii="Times New Roman" w:hAnsi="Times New Roman" w:cs="Times New Roman"/>
          <w:sz w:val="24"/>
          <w:szCs w:val="24"/>
        </w:rPr>
        <w:t>255-256). Finally, the reformative theory was developed on positive theory that indicated that the root of crime is positive thinking. Hence, the theory argued that punishment objectives require reformation by the offender. </w:t>
      </w:r>
    </w:p>
    <w:p w:rsidR="000D7F20" w:rsidRPr="000D7F20" w:rsidRDefault="000D7F20" w:rsidP="000D7F20">
      <w:pPr>
        <w:spacing w:after="0" w:line="480" w:lineRule="auto"/>
        <w:rPr>
          <w:rFonts w:ascii="Times New Roman" w:hAnsi="Times New Roman" w:cs="Times New Roman"/>
          <w:sz w:val="24"/>
          <w:szCs w:val="24"/>
        </w:rPr>
      </w:pPr>
      <w:r w:rsidRPr="000D7F20">
        <w:rPr>
          <w:rFonts w:ascii="Times New Roman" w:hAnsi="Times New Roman" w:cs="Times New Roman"/>
          <w:b/>
          <w:bCs/>
          <w:sz w:val="24"/>
          <w:szCs w:val="24"/>
        </w:rPr>
        <w:t>Theories that Explain the Case Argument </w:t>
      </w:r>
    </w:p>
    <w:p w:rsidR="000D7F20" w:rsidRPr="000D7F20" w:rsidRDefault="000D7F20" w:rsidP="000D7F20">
      <w:pPr>
        <w:spacing w:after="0" w:line="480" w:lineRule="auto"/>
        <w:ind w:firstLine="720"/>
        <w:rPr>
          <w:rFonts w:ascii="Times New Roman" w:hAnsi="Times New Roman" w:cs="Times New Roman"/>
          <w:sz w:val="24"/>
          <w:szCs w:val="24"/>
        </w:rPr>
      </w:pPr>
      <w:r w:rsidRPr="000D7F20">
        <w:rPr>
          <w:rFonts w:ascii="Times New Roman" w:hAnsi="Times New Roman" w:cs="Times New Roman"/>
          <w:sz w:val="24"/>
          <w:szCs w:val="24"/>
        </w:rPr>
        <w:t xml:space="preserve">Nonetheless, retributive theory and preventive theory are relevant to the death sentences </w:t>
      </w:r>
      <w:r w:rsidR="00CB4937">
        <w:rPr>
          <w:rFonts w:ascii="Times New Roman" w:hAnsi="Times New Roman" w:cs="Times New Roman"/>
          <w:sz w:val="24"/>
          <w:szCs w:val="24"/>
        </w:rPr>
        <w:t xml:space="preserve">cases </w:t>
      </w:r>
      <w:r w:rsidRPr="000D7F20">
        <w:rPr>
          <w:rFonts w:ascii="Times New Roman" w:hAnsi="Times New Roman" w:cs="Times New Roman"/>
          <w:sz w:val="24"/>
          <w:szCs w:val="24"/>
        </w:rPr>
        <w:t>discussed. The Supreme Court has reflected death punishment laws while ruling on the constitutionality in various ar</w:t>
      </w:r>
      <w:bookmarkStart w:id="0" w:name="_GoBack"/>
      <w:bookmarkEnd w:id="0"/>
      <w:r w:rsidRPr="000D7F20">
        <w:rPr>
          <w:rFonts w:ascii="Times New Roman" w:hAnsi="Times New Roman" w:cs="Times New Roman"/>
          <w:sz w:val="24"/>
          <w:szCs w:val="24"/>
        </w:rPr>
        <w:t xml:space="preserve">eas. First, there is the concept of execution method. After the death penalty was restored, states that had death punishment rule approved lethal injection as the main method of execution. This concept is related to the case understanding and ruling issued in </w:t>
      </w:r>
      <w:proofErr w:type="spellStart"/>
      <w:r w:rsidRPr="000D7F20">
        <w:rPr>
          <w:rFonts w:ascii="Times New Roman" w:hAnsi="Times New Roman" w:cs="Times New Roman"/>
          <w:sz w:val="24"/>
          <w:szCs w:val="24"/>
        </w:rPr>
        <w:t>Glossip</w:t>
      </w:r>
      <w:proofErr w:type="spellEnd"/>
      <w:r w:rsidRPr="000D7F20">
        <w:rPr>
          <w:rFonts w:ascii="Times New Roman" w:hAnsi="Times New Roman" w:cs="Times New Roman"/>
          <w:i/>
          <w:iCs/>
          <w:sz w:val="24"/>
          <w:szCs w:val="24"/>
        </w:rPr>
        <w:t> v. Gross. </w:t>
      </w:r>
      <w:r w:rsidRPr="000D7F20">
        <w:rPr>
          <w:rFonts w:ascii="Times New Roman" w:hAnsi="Times New Roman" w:cs="Times New Roman"/>
          <w:sz w:val="24"/>
          <w:szCs w:val="24"/>
        </w:rPr>
        <w:t>In the case </w:t>
      </w:r>
      <w:r w:rsidRPr="000D7F20">
        <w:rPr>
          <w:rFonts w:ascii="Times New Roman" w:hAnsi="Times New Roman" w:cs="Times New Roman"/>
          <w:i/>
          <w:iCs/>
          <w:sz w:val="24"/>
          <w:szCs w:val="24"/>
        </w:rPr>
        <w:t xml:space="preserve">of </w:t>
      </w:r>
      <w:proofErr w:type="spellStart"/>
      <w:r w:rsidRPr="000D7F20">
        <w:rPr>
          <w:rFonts w:ascii="Times New Roman" w:hAnsi="Times New Roman" w:cs="Times New Roman"/>
          <w:i/>
          <w:iCs/>
          <w:sz w:val="24"/>
          <w:szCs w:val="24"/>
        </w:rPr>
        <w:t>Glossip</w:t>
      </w:r>
      <w:proofErr w:type="spellEnd"/>
      <w:r w:rsidRPr="000D7F20">
        <w:rPr>
          <w:rFonts w:ascii="Times New Roman" w:hAnsi="Times New Roman" w:cs="Times New Roman"/>
          <w:i/>
          <w:iCs/>
          <w:sz w:val="24"/>
          <w:szCs w:val="24"/>
        </w:rPr>
        <w:t xml:space="preserve"> v. Gross, </w:t>
      </w:r>
      <w:r w:rsidRPr="000D7F20">
        <w:rPr>
          <w:rFonts w:ascii="Times New Roman" w:hAnsi="Times New Roman" w:cs="Times New Roman"/>
          <w:sz w:val="24"/>
          <w:szCs w:val="24"/>
        </w:rPr>
        <w:t xml:space="preserve">the </w:t>
      </w:r>
      <w:r w:rsidRPr="000D7F20">
        <w:rPr>
          <w:rFonts w:ascii="Times New Roman" w:hAnsi="Times New Roman" w:cs="Times New Roman"/>
          <w:sz w:val="24"/>
          <w:szCs w:val="24"/>
        </w:rPr>
        <w:lastRenderedPageBreak/>
        <w:t>Supreme Court upheld</w:t>
      </w:r>
      <w:r w:rsidRPr="000D7F20">
        <w:rPr>
          <w:rFonts w:ascii="Times New Roman" w:hAnsi="Times New Roman" w:cs="Times New Roman"/>
          <w:i/>
          <w:iCs/>
          <w:sz w:val="24"/>
          <w:szCs w:val="24"/>
        </w:rPr>
        <w:t> </w:t>
      </w:r>
      <w:r w:rsidRPr="000D7F20">
        <w:rPr>
          <w:rFonts w:ascii="Times New Roman" w:hAnsi="Times New Roman" w:cs="Times New Roman"/>
          <w:sz w:val="24"/>
          <w:szCs w:val="24"/>
        </w:rPr>
        <w:t>the implementation of the alternative drug (midazolam), regardless of being found to have failed in impeding paid in several executions. </w:t>
      </w:r>
    </w:p>
    <w:p w:rsidR="000D7F20" w:rsidRPr="000D7F20" w:rsidRDefault="000D7F20" w:rsidP="000D7F20">
      <w:pPr>
        <w:spacing w:after="0" w:line="480" w:lineRule="auto"/>
        <w:ind w:firstLine="720"/>
        <w:rPr>
          <w:rFonts w:ascii="Times New Roman" w:hAnsi="Times New Roman" w:cs="Times New Roman"/>
          <w:sz w:val="24"/>
          <w:szCs w:val="24"/>
        </w:rPr>
      </w:pPr>
      <w:r w:rsidRPr="000D7F20">
        <w:rPr>
          <w:rFonts w:ascii="Times New Roman" w:hAnsi="Times New Roman" w:cs="Times New Roman"/>
          <w:sz w:val="24"/>
          <w:szCs w:val="24"/>
        </w:rPr>
        <w:t>Another concept relates to age and intellectual disability. The court concluded that the execution of the intellectually disabled convict was an unconstitutional extreme penalty. As a way, the court maintained that the State cannot use the IQ test only in determining the convict's intellectual disability and offer a hearing to suspects who proved to be intellectually disabled. </w:t>
      </w:r>
    </w:p>
    <w:p w:rsidR="000D7F20" w:rsidRPr="000D7F20" w:rsidRDefault="000D7F20" w:rsidP="000D7F20">
      <w:pPr>
        <w:spacing w:after="0" w:line="480" w:lineRule="auto"/>
        <w:ind w:firstLine="720"/>
        <w:rPr>
          <w:rFonts w:ascii="Times New Roman" w:hAnsi="Times New Roman" w:cs="Times New Roman"/>
          <w:sz w:val="24"/>
          <w:szCs w:val="24"/>
        </w:rPr>
      </w:pPr>
      <w:r w:rsidRPr="000D7F20">
        <w:rPr>
          <w:rFonts w:ascii="Times New Roman" w:hAnsi="Times New Roman" w:cs="Times New Roman"/>
          <w:sz w:val="24"/>
          <w:szCs w:val="24"/>
        </w:rPr>
        <w:t>Finally, vagary is a concept that is relevant in understanding the death penalty cases. As indicated by Jacobs and Carmichael (250-251) since the death penalty was reinstated, the State has not been able to apply the sentence in uniform and just manner, as expected in the Eighth Amendment. As indicated in the theorist argument, the death penalty is for punishing ‘the worst of the worst.’</w:t>
      </w:r>
    </w:p>
    <w:p w:rsidR="00A574BB" w:rsidRDefault="00A574BB" w:rsidP="000D7F20">
      <w:pPr>
        <w:spacing w:after="0" w:line="480" w:lineRule="auto"/>
        <w:rPr>
          <w:rFonts w:ascii="Times New Roman" w:hAnsi="Times New Roman" w:cs="Times New Roman"/>
          <w:iCs/>
          <w:sz w:val="24"/>
          <w:szCs w:val="24"/>
          <w:lang w:val="en"/>
        </w:rPr>
      </w:pPr>
      <w:r>
        <w:rPr>
          <w:rFonts w:ascii="Times New Roman" w:hAnsi="Times New Roman" w:cs="Times New Roman"/>
          <w:iCs/>
          <w:sz w:val="24"/>
          <w:szCs w:val="24"/>
          <w:lang w:val="en"/>
        </w:rPr>
        <w:t xml:space="preserve"> </w:t>
      </w:r>
    </w:p>
    <w:p w:rsidR="00CE48C1" w:rsidRDefault="00CE48C1" w:rsidP="000D7F20">
      <w:pPr>
        <w:spacing w:after="0" w:line="480" w:lineRule="auto"/>
        <w:rPr>
          <w:rFonts w:ascii="Times New Roman" w:hAnsi="Times New Roman" w:cs="Times New Roman"/>
          <w:iCs/>
          <w:sz w:val="24"/>
          <w:szCs w:val="24"/>
          <w:lang w:val="en"/>
        </w:rPr>
      </w:pPr>
    </w:p>
    <w:p w:rsidR="000D7F20" w:rsidRDefault="000D7F20">
      <w:pPr>
        <w:rPr>
          <w:rFonts w:ascii="Times New Roman" w:hAnsi="Times New Roman" w:cs="Times New Roman"/>
          <w:iCs/>
          <w:sz w:val="24"/>
          <w:szCs w:val="24"/>
          <w:lang w:val="en"/>
        </w:rPr>
      </w:pPr>
      <w:r>
        <w:rPr>
          <w:rFonts w:ascii="Times New Roman" w:hAnsi="Times New Roman" w:cs="Times New Roman"/>
          <w:iCs/>
          <w:sz w:val="24"/>
          <w:szCs w:val="24"/>
          <w:lang w:val="en"/>
        </w:rPr>
        <w:br w:type="page"/>
      </w:r>
    </w:p>
    <w:p w:rsidR="00CE48C1" w:rsidRDefault="000D7F20" w:rsidP="000D7F20">
      <w:pPr>
        <w:spacing w:after="0" w:line="480" w:lineRule="auto"/>
        <w:jc w:val="center"/>
        <w:rPr>
          <w:rFonts w:ascii="Times New Roman" w:hAnsi="Times New Roman" w:cs="Times New Roman"/>
          <w:iCs/>
          <w:sz w:val="24"/>
          <w:szCs w:val="24"/>
          <w:lang w:val="en"/>
        </w:rPr>
      </w:pPr>
      <w:r>
        <w:rPr>
          <w:rFonts w:ascii="Times New Roman" w:hAnsi="Times New Roman" w:cs="Times New Roman"/>
          <w:iCs/>
          <w:sz w:val="24"/>
          <w:szCs w:val="24"/>
          <w:lang w:val="en"/>
        </w:rPr>
        <w:lastRenderedPageBreak/>
        <w:t>Work Cited:</w:t>
      </w:r>
    </w:p>
    <w:p w:rsidR="000D7F20" w:rsidRDefault="000D7F20" w:rsidP="000D7F20">
      <w:pPr>
        <w:spacing w:after="0" w:line="480" w:lineRule="auto"/>
        <w:rPr>
          <w:rFonts w:ascii="Times New Roman" w:hAnsi="Times New Roman" w:cs="Times New Roman"/>
          <w:iCs/>
          <w:sz w:val="24"/>
          <w:szCs w:val="24"/>
        </w:rPr>
      </w:pPr>
      <w:proofErr w:type="spellStart"/>
      <w:r w:rsidRPr="000D7F20">
        <w:rPr>
          <w:rFonts w:ascii="Times New Roman" w:hAnsi="Times New Roman" w:cs="Times New Roman"/>
          <w:iCs/>
          <w:sz w:val="24"/>
          <w:szCs w:val="24"/>
        </w:rPr>
        <w:t>Guyer</w:t>
      </w:r>
      <w:proofErr w:type="spellEnd"/>
      <w:r w:rsidRPr="000D7F20">
        <w:rPr>
          <w:rFonts w:ascii="Times New Roman" w:hAnsi="Times New Roman" w:cs="Times New Roman"/>
          <w:iCs/>
          <w:sz w:val="24"/>
          <w:szCs w:val="24"/>
        </w:rPr>
        <w:t xml:space="preserve">, Richard. "Ring </w:t>
      </w:r>
      <w:proofErr w:type="gramStart"/>
      <w:r w:rsidRPr="000D7F20">
        <w:rPr>
          <w:rFonts w:ascii="Times New Roman" w:hAnsi="Times New Roman" w:cs="Times New Roman"/>
          <w:iCs/>
          <w:sz w:val="24"/>
          <w:szCs w:val="24"/>
        </w:rPr>
        <w:t>Around</w:t>
      </w:r>
      <w:proofErr w:type="gramEnd"/>
      <w:r w:rsidRPr="000D7F20">
        <w:rPr>
          <w:rFonts w:ascii="Times New Roman" w:hAnsi="Times New Roman" w:cs="Times New Roman"/>
          <w:iCs/>
          <w:sz w:val="24"/>
          <w:szCs w:val="24"/>
        </w:rPr>
        <w:t xml:space="preserve"> the Jury: Reviewing Florida's Capital Sentencing Framework in Hurst v. Florida." (2016): 242.</w:t>
      </w:r>
    </w:p>
    <w:p w:rsidR="000D7F20" w:rsidRDefault="000D7F20" w:rsidP="000D7F20">
      <w:pPr>
        <w:spacing w:after="0" w:line="480" w:lineRule="auto"/>
        <w:rPr>
          <w:rFonts w:ascii="Times New Roman" w:hAnsi="Times New Roman" w:cs="Times New Roman"/>
          <w:iCs/>
          <w:sz w:val="24"/>
          <w:szCs w:val="24"/>
        </w:rPr>
      </w:pPr>
      <w:r w:rsidRPr="000D7F20">
        <w:rPr>
          <w:rFonts w:ascii="Times New Roman" w:hAnsi="Times New Roman" w:cs="Times New Roman"/>
          <w:iCs/>
          <w:sz w:val="24"/>
          <w:szCs w:val="24"/>
        </w:rPr>
        <w:t>Jacobs, David, and Jason T. Carmichael. "Ideology, social threat, and the death sentence: Capital sentences across time and space." </w:t>
      </w:r>
      <w:r w:rsidRPr="000D7F20">
        <w:rPr>
          <w:rFonts w:ascii="Times New Roman" w:hAnsi="Times New Roman" w:cs="Times New Roman"/>
          <w:i/>
          <w:iCs/>
          <w:sz w:val="24"/>
          <w:szCs w:val="24"/>
        </w:rPr>
        <w:t>Social Forces</w:t>
      </w:r>
      <w:r w:rsidRPr="000D7F20">
        <w:rPr>
          <w:rFonts w:ascii="Times New Roman" w:hAnsi="Times New Roman" w:cs="Times New Roman"/>
          <w:iCs/>
          <w:sz w:val="24"/>
          <w:szCs w:val="24"/>
        </w:rPr>
        <w:t> 83.1 (2004): 249-278.</w:t>
      </w:r>
    </w:p>
    <w:p w:rsidR="000D7F20" w:rsidRDefault="000D7F20" w:rsidP="000D7F20">
      <w:pPr>
        <w:spacing w:after="0" w:line="480" w:lineRule="auto"/>
        <w:rPr>
          <w:rFonts w:ascii="Times New Roman" w:hAnsi="Times New Roman" w:cs="Times New Roman"/>
          <w:iCs/>
          <w:sz w:val="24"/>
          <w:szCs w:val="24"/>
        </w:rPr>
      </w:pPr>
      <w:proofErr w:type="spellStart"/>
      <w:r w:rsidRPr="000D7F20">
        <w:rPr>
          <w:rFonts w:ascii="Times New Roman" w:hAnsi="Times New Roman" w:cs="Times New Roman"/>
          <w:iCs/>
          <w:sz w:val="24"/>
          <w:szCs w:val="24"/>
        </w:rPr>
        <w:t>Maerowitz</w:t>
      </w:r>
      <w:proofErr w:type="spellEnd"/>
      <w:r w:rsidRPr="000D7F20">
        <w:rPr>
          <w:rFonts w:ascii="Times New Roman" w:hAnsi="Times New Roman" w:cs="Times New Roman"/>
          <w:iCs/>
          <w:sz w:val="24"/>
          <w:szCs w:val="24"/>
        </w:rPr>
        <w:t>, Michael T. "</w:t>
      </w:r>
      <w:proofErr w:type="spellStart"/>
      <w:r w:rsidRPr="000D7F20">
        <w:rPr>
          <w:rFonts w:ascii="Times New Roman" w:hAnsi="Times New Roman" w:cs="Times New Roman"/>
          <w:iCs/>
          <w:sz w:val="24"/>
          <w:szCs w:val="24"/>
        </w:rPr>
        <w:t>Glossip</w:t>
      </w:r>
      <w:proofErr w:type="spellEnd"/>
      <w:r w:rsidRPr="000D7F20">
        <w:rPr>
          <w:rFonts w:ascii="Times New Roman" w:hAnsi="Times New Roman" w:cs="Times New Roman"/>
          <w:iCs/>
          <w:sz w:val="24"/>
          <w:szCs w:val="24"/>
        </w:rPr>
        <w:t xml:space="preserve"> v. Gross: The Insurmountable Burden of Proof in Eight Amendment Method-of-Execution Claims." </w:t>
      </w:r>
      <w:r w:rsidRPr="000D7F20">
        <w:rPr>
          <w:rFonts w:ascii="Times New Roman" w:hAnsi="Times New Roman" w:cs="Times New Roman"/>
          <w:i/>
          <w:iCs/>
          <w:sz w:val="24"/>
          <w:szCs w:val="24"/>
        </w:rPr>
        <w:t>Ariz. St. LJ</w:t>
      </w:r>
      <w:r w:rsidRPr="000D7F20">
        <w:rPr>
          <w:rFonts w:ascii="Times New Roman" w:hAnsi="Times New Roman" w:cs="Times New Roman"/>
          <w:iCs/>
          <w:sz w:val="24"/>
          <w:szCs w:val="24"/>
        </w:rPr>
        <w:t> 49 (2017): 279.</w:t>
      </w:r>
    </w:p>
    <w:p w:rsidR="000D7F20" w:rsidRDefault="000D7F20" w:rsidP="000D7F20">
      <w:pPr>
        <w:spacing w:after="0" w:line="480" w:lineRule="auto"/>
        <w:rPr>
          <w:rFonts w:ascii="Times New Roman" w:hAnsi="Times New Roman" w:cs="Times New Roman"/>
          <w:iCs/>
          <w:sz w:val="24"/>
          <w:szCs w:val="24"/>
        </w:rPr>
      </w:pPr>
      <w:proofErr w:type="spellStart"/>
      <w:r w:rsidRPr="000D7F20">
        <w:rPr>
          <w:rFonts w:ascii="Times New Roman" w:hAnsi="Times New Roman" w:cs="Times New Roman"/>
          <w:iCs/>
          <w:sz w:val="24"/>
          <w:szCs w:val="24"/>
        </w:rPr>
        <w:t>Malec</w:t>
      </w:r>
      <w:proofErr w:type="spellEnd"/>
      <w:r w:rsidRPr="000D7F20">
        <w:rPr>
          <w:rFonts w:ascii="Times New Roman" w:hAnsi="Times New Roman" w:cs="Times New Roman"/>
          <w:iCs/>
          <w:sz w:val="24"/>
          <w:szCs w:val="24"/>
        </w:rPr>
        <w:t xml:space="preserve">, Norbert. "The Aftermath of the US Supreme Court in the Case </w:t>
      </w:r>
      <w:proofErr w:type="spellStart"/>
      <w:r w:rsidRPr="000D7F20">
        <w:rPr>
          <w:rFonts w:ascii="Times New Roman" w:hAnsi="Times New Roman" w:cs="Times New Roman"/>
          <w:iCs/>
          <w:sz w:val="24"/>
          <w:szCs w:val="24"/>
        </w:rPr>
        <w:t>Glossip</w:t>
      </w:r>
      <w:proofErr w:type="spellEnd"/>
      <w:r w:rsidRPr="000D7F20">
        <w:rPr>
          <w:rFonts w:ascii="Times New Roman" w:hAnsi="Times New Roman" w:cs="Times New Roman"/>
          <w:iCs/>
          <w:sz w:val="24"/>
          <w:szCs w:val="24"/>
        </w:rPr>
        <w:t xml:space="preserve"> v Gross." </w:t>
      </w:r>
      <w:proofErr w:type="spellStart"/>
      <w:r w:rsidRPr="000D7F20">
        <w:rPr>
          <w:rFonts w:ascii="Times New Roman" w:hAnsi="Times New Roman" w:cs="Times New Roman"/>
          <w:i/>
          <w:iCs/>
          <w:sz w:val="24"/>
          <w:szCs w:val="24"/>
        </w:rPr>
        <w:t>Studia</w:t>
      </w:r>
      <w:proofErr w:type="spellEnd"/>
      <w:r w:rsidRPr="000D7F20">
        <w:rPr>
          <w:rFonts w:ascii="Times New Roman" w:hAnsi="Times New Roman" w:cs="Times New Roman"/>
          <w:i/>
          <w:iCs/>
          <w:sz w:val="24"/>
          <w:szCs w:val="24"/>
        </w:rPr>
        <w:t xml:space="preserve"> </w:t>
      </w:r>
      <w:proofErr w:type="spellStart"/>
      <w:r w:rsidRPr="000D7F20">
        <w:rPr>
          <w:rFonts w:ascii="Times New Roman" w:hAnsi="Times New Roman" w:cs="Times New Roman"/>
          <w:i/>
          <w:iCs/>
          <w:sz w:val="24"/>
          <w:szCs w:val="24"/>
        </w:rPr>
        <w:t>Prawnicze</w:t>
      </w:r>
      <w:proofErr w:type="spellEnd"/>
      <w:r w:rsidRPr="000D7F20">
        <w:rPr>
          <w:rFonts w:ascii="Times New Roman" w:hAnsi="Times New Roman" w:cs="Times New Roman"/>
          <w:i/>
          <w:iCs/>
          <w:sz w:val="24"/>
          <w:szCs w:val="24"/>
        </w:rPr>
        <w:t xml:space="preserve"> </w:t>
      </w:r>
      <w:proofErr w:type="spellStart"/>
      <w:r w:rsidRPr="000D7F20">
        <w:rPr>
          <w:rFonts w:ascii="Times New Roman" w:hAnsi="Times New Roman" w:cs="Times New Roman"/>
          <w:i/>
          <w:iCs/>
          <w:sz w:val="24"/>
          <w:szCs w:val="24"/>
        </w:rPr>
        <w:t>i</w:t>
      </w:r>
      <w:proofErr w:type="spellEnd"/>
      <w:r w:rsidRPr="000D7F20">
        <w:rPr>
          <w:rFonts w:ascii="Times New Roman" w:hAnsi="Times New Roman" w:cs="Times New Roman"/>
          <w:i/>
          <w:iCs/>
          <w:sz w:val="24"/>
          <w:szCs w:val="24"/>
        </w:rPr>
        <w:t xml:space="preserve"> </w:t>
      </w:r>
      <w:proofErr w:type="spellStart"/>
      <w:r w:rsidRPr="000D7F20">
        <w:rPr>
          <w:rFonts w:ascii="Times New Roman" w:hAnsi="Times New Roman" w:cs="Times New Roman"/>
          <w:i/>
          <w:iCs/>
          <w:sz w:val="24"/>
          <w:szCs w:val="24"/>
        </w:rPr>
        <w:t>Administracyjne</w:t>
      </w:r>
      <w:proofErr w:type="spellEnd"/>
      <w:r w:rsidRPr="000D7F20">
        <w:rPr>
          <w:rFonts w:ascii="Times New Roman" w:hAnsi="Times New Roman" w:cs="Times New Roman"/>
          <w:iCs/>
          <w:sz w:val="24"/>
          <w:szCs w:val="24"/>
        </w:rPr>
        <w:t> 13 (3) (2015): 37-42.</w:t>
      </w:r>
    </w:p>
    <w:p w:rsidR="000D7F20" w:rsidRPr="00D51645" w:rsidRDefault="000D7F20" w:rsidP="000D7F20">
      <w:pPr>
        <w:spacing w:after="0" w:line="480" w:lineRule="auto"/>
        <w:rPr>
          <w:rFonts w:ascii="Times New Roman" w:hAnsi="Times New Roman" w:cs="Times New Roman"/>
          <w:iCs/>
          <w:sz w:val="24"/>
          <w:szCs w:val="24"/>
          <w:lang w:val="en"/>
        </w:rPr>
      </w:pPr>
      <w:r w:rsidRPr="000D7F20">
        <w:rPr>
          <w:rFonts w:ascii="Times New Roman" w:hAnsi="Times New Roman" w:cs="Times New Roman"/>
          <w:iCs/>
          <w:sz w:val="24"/>
          <w:szCs w:val="24"/>
        </w:rPr>
        <w:t xml:space="preserve">McCann, Stewart JH. "Societal threat, authoritarianism, conservatism, and </w:t>
      </w:r>
      <w:proofErr w:type="gramStart"/>
      <w:r w:rsidRPr="000D7F20">
        <w:rPr>
          <w:rFonts w:ascii="Times New Roman" w:hAnsi="Times New Roman" w:cs="Times New Roman"/>
          <w:iCs/>
          <w:sz w:val="24"/>
          <w:szCs w:val="24"/>
        </w:rPr>
        <w:t>US</w:t>
      </w:r>
      <w:proofErr w:type="gramEnd"/>
      <w:r w:rsidRPr="000D7F20">
        <w:rPr>
          <w:rFonts w:ascii="Times New Roman" w:hAnsi="Times New Roman" w:cs="Times New Roman"/>
          <w:iCs/>
          <w:sz w:val="24"/>
          <w:szCs w:val="24"/>
        </w:rPr>
        <w:t xml:space="preserve"> state death penalty sentencing (1977-2004)." </w:t>
      </w:r>
      <w:r w:rsidRPr="000D7F20">
        <w:rPr>
          <w:rFonts w:ascii="Times New Roman" w:hAnsi="Times New Roman" w:cs="Times New Roman"/>
          <w:i/>
          <w:iCs/>
          <w:sz w:val="24"/>
          <w:szCs w:val="24"/>
        </w:rPr>
        <w:t>Journal of Personality and Social Psychology</w:t>
      </w:r>
      <w:r w:rsidRPr="000D7F20">
        <w:rPr>
          <w:rFonts w:ascii="Times New Roman" w:hAnsi="Times New Roman" w:cs="Times New Roman"/>
          <w:iCs/>
          <w:sz w:val="24"/>
          <w:szCs w:val="24"/>
        </w:rPr>
        <w:t> 94.5 (2008): 913.</w:t>
      </w:r>
    </w:p>
    <w:p w:rsidR="000D7F20" w:rsidRDefault="000D7F20" w:rsidP="000D7F20">
      <w:pPr>
        <w:spacing w:after="0" w:line="480" w:lineRule="auto"/>
        <w:rPr>
          <w:rFonts w:ascii="Times New Roman" w:hAnsi="Times New Roman" w:cs="Times New Roman"/>
          <w:iCs/>
          <w:sz w:val="24"/>
          <w:szCs w:val="24"/>
        </w:rPr>
      </w:pPr>
      <w:proofErr w:type="spellStart"/>
      <w:r w:rsidRPr="000D7F20">
        <w:rPr>
          <w:rFonts w:ascii="Times New Roman" w:hAnsi="Times New Roman" w:cs="Times New Roman"/>
          <w:iCs/>
          <w:sz w:val="24"/>
          <w:szCs w:val="24"/>
        </w:rPr>
        <w:t>Wermer</w:t>
      </w:r>
      <w:proofErr w:type="spellEnd"/>
      <w:r w:rsidRPr="000D7F20">
        <w:rPr>
          <w:rFonts w:ascii="Times New Roman" w:hAnsi="Times New Roman" w:cs="Times New Roman"/>
          <w:iCs/>
          <w:sz w:val="24"/>
          <w:szCs w:val="24"/>
        </w:rPr>
        <w:t>, Jeffrey. "The Jury Requirement in Death Sentencing after Hurst v. Florida." </w:t>
      </w:r>
      <w:proofErr w:type="spellStart"/>
      <w:r w:rsidRPr="000D7F20">
        <w:rPr>
          <w:rFonts w:ascii="Times New Roman" w:hAnsi="Times New Roman" w:cs="Times New Roman"/>
          <w:i/>
          <w:iCs/>
          <w:sz w:val="24"/>
          <w:szCs w:val="24"/>
        </w:rPr>
        <w:t>Denv</w:t>
      </w:r>
      <w:proofErr w:type="spellEnd"/>
      <w:r w:rsidRPr="000D7F20">
        <w:rPr>
          <w:rFonts w:ascii="Times New Roman" w:hAnsi="Times New Roman" w:cs="Times New Roman"/>
          <w:i/>
          <w:iCs/>
          <w:sz w:val="24"/>
          <w:szCs w:val="24"/>
        </w:rPr>
        <w:t>. L. Rev.</w:t>
      </w:r>
      <w:r w:rsidRPr="000D7F20">
        <w:rPr>
          <w:rFonts w:ascii="Times New Roman" w:hAnsi="Times New Roman" w:cs="Times New Roman"/>
          <w:iCs/>
          <w:sz w:val="24"/>
          <w:szCs w:val="24"/>
        </w:rPr>
        <w:t> 94 (2016): 385.</w:t>
      </w:r>
    </w:p>
    <w:p w:rsidR="008F24E4" w:rsidRPr="00504582" w:rsidRDefault="008F24E4" w:rsidP="000D7F20">
      <w:pPr>
        <w:spacing w:after="0" w:line="480" w:lineRule="auto"/>
        <w:rPr>
          <w:rFonts w:ascii="Times New Roman" w:hAnsi="Times New Roman" w:cs="Times New Roman"/>
          <w:sz w:val="24"/>
          <w:szCs w:val="24"/>
        </w:rPr>
      </w:pPr>
    </w:p>
    <w:sectPr w:rsidR="008F24E4" w:rsidRPr="0050458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64DA" w:rsidRDefault="003164DA" w:rsidP="00C57F55">
      <w:pPr>
        <w:spacing w:after="0" w:line="240" w:lineRule="auto"/>
      </w:pPr>
      <w:r>
        <w:separator/>
      </w:r>
    </w:p>
  </w:endnote>
  <w:endnote w:type="continuationSeparator" w:id="0">
    <w:p w:rsidR="003164DA" w:rsidRDefault="003164DA" w:rsidP="00C57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64DA" w:rsidRDefault="003164DA" w:rsidP="00C57F55">
      <w:pPr>
        <w:spacing w:after="0" w:line="240" w:lineRule="auto"/>
      </w:pPr>
      <w:r>
        <w:separator/>
      </w:r>
    </w:p>
  </w:footnote>
  <w:footnote w:type="continuationSeparator" w:id="0">
    <w:p w:rsidR="003164DA" w:rsidRDefault="003164DA" w:rsidP="00C57F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F55" w:rsidRPr="00C57F55" w:rsidRDefault="00C57F55">
    <w:pPr>
      <w:pStyle w:val="Header"/>
      <w:jc w:val="right"/>
      <w:rPr>
        <w:rFonts w:ascii="Times New Roman" w:hAnsi="Times New Roman" w:cs="Times New Roman"/>
        <w:sz w:val="24"/>
        <w:szCs w:val="24"/>
      </w:rPr>
    </w:pPr>
    <w:r w:rsidRPr="00C57F55">
      <w:rPr>
        <w:rFonts w:ascii="Times New Roman" w:hAnsi="Times New Roman" w:cs="Times New Roman"/>
        <w:sz w:val="24"/>
        <w:szCs w:val="24"/>
      </w:rPr>
      <w:t xml:space="preserve">Surname </w:t>
    </w:r>
    <w:sdt>
      <w:sdtPr>
        <w:rPr>
          <w:rFonts w:ascii="Times New Roman" w:hAnsi="Times New Roman" w:cs="Times New Roman"/>
          <w:sz w:val="24"/>
          <w:szCs w:val="24"/>
        </w:rPr>
        <w:id w:val="-603417943"/>
        <w:docPartObj>
          <w:docPartGallery w:val="Page Numbers (Top of Page)"/>
          <w:docPartUnique/>
        </w:docPartObj>
      </w:sdtPr>
      <w:sdtEndPr>
        <w:rPr>
          <w:noProof/>
        </w:rPr>
      </w:sdtEndPr>
      <w:sdtContent>
        <w:r w:rsidRPr="00C57F55">
          <w:rPr>
            <w:rFonts w:ascii="Times New Roman" w:hAnsi="Times New Roman" w:cs="Times New Roman"/>
            <w:sz w:val="24"/>
            <w:szCs w:val="24"/>
          </w:rPr>
          <w:fldChar w:fldCharType="begin"/>
        </w:r>
        <w:r w:rsidRPr="00C57F55">
          <w:rPr>
            <w:rFonts w:ascii="Times New Roman" w:hAnsi="Times New Roman" w:cs="Times New Roman"/>
            <w:sz w:val="24"/>
            <w:szCs w:val="24"/>
          </w:rPr>
          <w:instrText xml:space="preserve"> PAGE   \* MERGEFORMAT </w:instrText>
        </w:r>
        <w:r w:rsidRPr="00C57F55">
          <w:rPr>
            <w:rFonts w:ascii="Times New Roman" w:hAnsi="Times New Roman" w:cs="Times New Roman"/>
            <w:sz w:val="24"/>
            <w:szCs w:val="24"/>
          </w:rPr>
          <w:fldChar w:fldCharType="separate"/>
        </w:r>
        <w:r w:rsidR="00CB4937">
          <w:rPr>
            <w:rFonts w:ascii="Times New Roman" w:hAnsi="Times New Roman" w:cs="Times New Roman"/>
            <w:noProof/>
            <w:sz w:val="24"/>
            <w:szCs w:val="24"/>
          </w:rPr>
          <w:t>4</w:t>
        </w:r>
        <w:r w:rsidRPr="00C57F55">
          <w:rPr>
            <w:rFonts w:ascii="Times New Roman" w:hAnsi="Times New Roman" w:cs="Times New Roman"/>
            <w:noProof/>
            <w:sz w:val="24"/>
            <w:szCs w:val="24"/>
          </w:rPr>
          <w:fldChar w:fldCharType="end"/>
        </w:r>
      </w:sdtContent>
    </w:sdt>
  </w:p>
  <w:p w:rsidR="00C57F55" w:rsidRDefault="00C57F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582"/>
    <w:rsid w:val="000D7F20"/>
    <w:rsid w:val="001320C8"/>
    <w:rsid w:val="00134D67"/>
    <w:rsid w:val="00217D6F"/>
    <w:rsid w:val="003164DA"/>
    <w:rsid w:val="00504582"/>
    <w:rsid w:val="008F24E4"/>
    <w:rsid w:val="00A574BB"/>
    <w:rsid w:val="00A90548"/>
    <w:rsid w:val="00BE5C20"/>
    <w:rsid w:val="00C57F55"/>
    <w:rsid w:val="00CB4937"/>
    <w:rsid w:val="00CE48C1"/>
    <w:rsid w:val="00D516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EB1F4E-68DA-43A6-93E8-696BEAA4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45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582"/>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57F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F55"/>
  </w:style>
  <w:style w:type="paragraph" w:styleId="Footer">
    <w:name w:val="footer"/>
    <w:basedOn w:val="Normal"/>
    <w:link w:val="FooterChar"/>
    <w:uiPriority w:val="99"/>
    <w:unhideWhenUsed/>
    <w:rsid w:val="00C57F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662490">
      <w:bodyDiv w:val="1"/>
      <w:marLeft w:val="0"/>
      <w:marRight w:val="0"/>
      <w:marTop w:val="0"/>
      <w:marBottom w:val="0"/>
      <w:divBdr>
        <w:top w:val="none" w:sz="0" w:space="0" w:color="auto"/>
        <w:left w:val="none" w:sz="0" w:space="0" w:color="auto"/>
        <w:bottom w:val="none" w:sz="0" w:space="0" w:color="auto"/>
        <w:right w:val="none" w:sz="0" w:space="0" w:color="auto"/>
      </w:divBdr>
    </w:div>
    <w:div w:id="1000887867">
      <w:bodyDiv w:val="1"/>
      <w:marLeft w:val="0"/>
      <w:marRight w:val="0"/>
      <w:marTop w:val="0"/>
      <w:marBottom w:val="0"/>
      <w:divBdr>
        <w:top w:val="none" w:sz="0" w:space="0" w:color="auto"/>
        <w:left w:val="none" w:sz="0" w:space="0" w:color="auto"/>
        <w:bottom w:val="none" w:sz="0" w:space="0" w:color="auto"/>
        <w:right w:val="none" w:sz="0" w:space="0" w:color="auto"/>
      </w:divBdr>
    </w:div>
    <w:div w:id="126114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macharia</dc:creator>
  <cp:keywords/>
  <dc:description/>
  <cp:lastModifiedBy>martin macharia</cp:lastModifiedBy>
  <cp:revision>4</cp:revision>
  <dcterms:created xsi:type="dcterms:W3CDTF">2019-10-26T02:00:00Z</dcterms:created>
  <dcterms:modified xsi:type="dcterms:W3CDTF">2019-10-26T03:49:00Z</dcterms:modified>
</cp:coreProperties>
</file>